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PÁLYÁZATI FELHÍVÁS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eastAsia="Times New Roman"/>
          <w:sz w:val="28"/>
          <w:szCs w:val="28"/>
          <w:lang w:eastAsia="hu-HU"/>
        </w:rPr>
      </w:pPr>
      <w:r>
        <w:rPr>
          <w:rFonts w:eastAsia="Times New Roman" w:ascii="Times New Roman" w:hAnsi="Times New Roman"/>
          <w:sz w:val="28"/>
          <w:szCs w:val="28"/>
          <w:lang w:eastAsia="hu-HU"/>
        </w:rPr>
      </w:r>
    </w:p>
    <w:p>
      <w:pPr>
        <w:pStyle w:val="Normal"/>
        <w:jc w:val="both"/>
        <w:rPr>
          <w:rFonts w:ascii="Times New Roman" w:hAnsi="Times New Roman" w:eastAsia="Times New Roman"/>
          <w:sz w:val="28"/>
          <w:szCs w:val="28"/>
          <w:lang w:eastAsia="hu-HU"/>
        </w:rPr>
      </w:pPr>
      <w:r>
        <w:rPr>
          <w:rFonts w:eastAsia="Times New Roman" w:ascii="Times New Roman" w:hAnsi="Times New Roman"/>
          <w:sz w:val="28"/>
          <w:szCs w:val="28"/>
          <w:lang w:eastAsia="hu-HU"/>
        </w:rPr>
        <w:t xml:space="preserve">Az </w:t>
      </w:r>
      <w:r>
        <w:rPr>
          <w:rFonts w:eastAsia="Times New Roman" w:ascii="Times New Roman" w:hAnsi="Times New Roman"/>
          <w:b/>
          <w:sz w:val="28"/>
          <w:szCs w:val="28"/>
          <w:lang w:eastAsia="hu-HU"/>
        </w:rPr>
        <w:t>Értelmi Sérülteket Szolgáló Társadalmi Szervezetek és Alapítványok Országos Szövetsége (ÉTA)</w:t>
      </w:r>
      <w:r>
        <w:rPr>
          <w:rFonts w:eastAsia="Times New Roman" w:ascii="Times New Roman" w:hAnsi="Times New Roman"/>
          <w:sz w:val="28"/>
          <w:szCs w:val="28"/>
          <w:lang w:eastAsia="hu-HU"/>
        </w:rPr>
        <w:t xml:space="preserve"> pályázatot hirdet a Belügyminisztérium célzott támogatásával a tagszervezetei számára a </w:t>
      </w:r>
      <w:r>
        <w:rPr>
          <w:rFonts w:eastAsia="Times New Roman" w:ascii="Times New Roman" w:hAnsi="Times New Roman"/>
          <w:b/>
          <w:bCs/>
          <w:sz w:val="28"/>
          <w:szCs w:val="28"/>
          <w:lang w:eastAsia="hu-HU"/>
        </w:rPr>
        <w:t>szakmai tevékenységük</w:t>
      </w:r>
      <w:r>
        <w:rPr>
          <w:rFonts w:eastAsia="Times New Roman" w:ascii="Times New Roman" w:hAnsi="Times New Roman"/>
          <w:sz w:val="28"/>
          <w:szCs w:val="28"/>
          <w:lang w:eastAsia="hu-HU"/>
        </w:rPr>
        <w:t xml:space="preserve"> színvonalának emelése érdekében. 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1./ A PÁLYÁZAT CÉLJA:</w:t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Web"/>
        <w:spacing w:beforeAutospacing="0" w:before="0" w:afterAutospacing="0" w:after="0"/>
        <w:jc w:val="both"/>
        <w:rPr>
          <w:b/>
          <w:b/>
          <w:iCs/>
          <w:sz w:val="28"/>
          <w:szCs w:val="28"/>
        </w:rPr>
      </w:pPr>
      <w:r>
        <w:rPr>
          <w:iCs/>
          <w:sz w:val="28"/>
          <w:szCs w:val="28"/>
        </w:rPr>
        <w:t xml:space="preserve">A szövetség tagszervezetinél folyamatosan megvalósuló, a fogyatékossággal élő emberek életminőségét, illetve társadalmi integrációját direkt, vagy indirekt módon segítő </w:t>
      </w:r>
      <w:r>
        <w:rPr>
          <w:b/>
          <w:iCs/>
          <w:sz w:val="28"/>
          <w:szCs w:val="28"/>
        </w:rPr>
        <w:t>szakmai programok támogatása.</w:t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2./ A PÁLYÁZAT TARTALMA:</w:t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 pályázatot benyújtó tagszervezettől </w:t>
      </w:r>
      <w:r>
        <w:rPr>
          <w:rFonts w:ascii="Times New Roman" w:hAnsi="Times New Roman"/>
          <w:iCs/>
          <w:sz w:val="28"/>
          <w:szCs w:val="28"/>
        </w:rPr>
        <w:t>a szervezeti és működési rendjéhez igazodó olyan szakmai tevékenység megvalósulását várjuk, amely elősegíti a fogyatékossággal élő emberek életminőségének javítását, valamint szomato-mentális és pszichés állapotának javulását.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 pályázati program célcsoportja:</w:t>
      </w:r>
      <w:r>
        <w:rPr>
          <w:rFonts w:ascii="Times New Roman" w:hAnsi="Times New Roman"/>
          <w:sz w:val="28"/>
          <w:szCs w:val="28"/>
        </w:rPr>
        <w:t xml:space="preserve"> a tagszervezet célkitűzéseiben meghatározott és tevékenységi körébe bevont, vagy a pályázati programja keretében bevonásra kerülő fogyatékos személy.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3./ A PÁLYÁZÓK KÖRE:</w:t>
      </w:r>
    </w:p>
    <w:p>
      <w:pPr>
        <w:pStyle w:val="Normal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A szövetség tagszervezetei, akik rendelkeznek legalább 1 év szövetségi tagsággal.</w:t>
      </w:r>
    </w:p>
    <w:p>
      <w:pPr>
        <w:pStyle w:val="Normal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</w:r>
    </w:p>
    <w:p>
      <w:pPr>
        <w:pStyle w:val="Normal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</w:r>
    </w:p>
    <w:p>
      <w:pPr>
        <w:pStyle w:val="Normal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</w:r>
    </w:p>
    <w:p>
      <w:pPr>
        <w:pStyle w:val="Normal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</w:r>
    </w:p>
    <w:p>
      <w:pPr>
        <w:pStyle w:val="Normal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</w:r>
    </w:p>
    <w:p>
      <w:pPr>
        <w:pStyle w:val="NormalWeb"/>
        <w:spacing w:beforeAutospacing="0" w:before="0" w:afterAutospacing="0" w:after="0"/>
        <w:jc w:val="both"/>
        <w:rPr>
          <w:b/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Formai kizárásra kerül annak a pályázó tagszervezetnek az anyaga, akinek:</w:t>
      </w:r>
    </w:p>
    <w:p>
      <w:pPr>
        <w:pStyle w:val="NormalWeb"/>
        <w:spacing w:beforeAutospacing="0" w:before="0" w:afterAutospacing="0" w:after="0"/>
        <w:jc w:val="both"/>
        <w:rPr>
          <w:b/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</w:r>
    </w:p>
    <w:p>
      <w:pPr>
        <w:pStyle w:val="NormalWeb"/>
        <w:numPr>
          <w:ilvl w:val="0"/>
          <w:numId w:val="4"/>
        </w:numPr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saját honlapján nincs feltüntetve, hogy az ÉTA Országos Szövetség tagszervezete.</w:t>
      </w:r>
    </w:p>
    <w:p>
      <w:pPr>
        <w:pStyle w:val="NormalWeb"/>
        <w:numPr>
          <w:ilvl w:val="0"/>
          <w:numId w:val="4"/>
        </w:numPr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előző évi nyertes pályázat esetén, saját honlapján nincs feltüntetve, hogy szövetségi támogatással valósította meg a programot.</w:t>
      </w:r>
    </w:p>
    <w:p>
      <w:pPr>
        <w:pStyle w:val="NormalWeb"/>
        <w:numPr>
          <w:ilvl w:val="0"/>
          <w:numId w:val="4"/>
        </w:numPr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nem teszi elérhetővé saját honlapjáról az ÉTA Országos Szövetség honlapjának elérhetőségét.</w:t>
      </w:r>
    </w:p>
    <w:p>
      <w:pPr>
        <w:pStyle w:val="NormalWeb"/>
        <w:numPr>
          <w:ilvl w:val="0"/>
          <w:numId w:val="4"/>
        </w:numPr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nem tünteti fel saját honlapján támogatóként a szövetséget.</w:t>
      </w:r>
    </w:p>
    <w:p>
      <w:pPr>
        <w:pStyle w:val="NormalWeb"/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</w:r>
    </w:p>
    <w:p>
      <w:pPr>
        <w:pStyle w:val="NormalWeb"/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A formai követelmények meglétét a pályázati anyag beadásakor mellékletek formájában igazolni kell!!!!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Nem pályázhat az a tagszervezet</w:t>
      </w:r>
      <w:r>
        <w:rPr>
          <w:rFonts w:ascii="Times New Roman" w:hAnsi="Times New Roman"/>
          <w:sz w:val="28"/>
          <w:szCs w:val="28"/>
        </w:rPr>
        <w:t>, aki: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Web"/>
        <w:numPr>
          <w:ilvl w:val="0"/>
          <w:numId w:val="10"/>
        </w:numPr>
        <w:spacing w:beforeAutospacing="0" w:before="0" w:afterAutospacing="0" w:after="0"/>
        <w:jc w:val="both"/>
        <w:rPr>
          <w:iCs/>
          <w:sz w:val="28"/>
          <w:szCs w:val="28"/>
        </w:rPr>
      </w:pPr>
      <w:bookmarkStart w:id="0" w:name="_Hlk534802293"/>
      <w:r>
        <w:rPr>
          <w:iCs/>
          <w:sz w:val="28"/>
          <w:szCs w:val="28"/>
        </w:rPr>
        <w:t>a 2025. évi tagdíjat a pályázat beadásának határ idejéig (2025. június 30. éjfél) nem fizette be.</w:t>
      </w:r>
      <w:bookmarkEnd w:id="0"/>
    </w:p>
    <w:p>
      <w:pPr>
        <w:pStyle w:val="NormalWeb"/>
        <w:numPr>
          <w:ilvl w:val="0"/>
          <w:numId w:val="11"/>
        </w:numPr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az a tagszervezet, aki a 2024. évi elnyert pályázati összeget nem a megjelölt célok elérése érdekében használta fel.</w:t>
      </w:r>
    </w:p>
    <w:p>
      <w:pPr>
        <w:pStyle w:val="NormalWeb"/>
        <w:numPr>
          <w:ilvl w:val="0"/>
          <w:numId w:val="12"/>
        </w:numPr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az a tagszervezet, aki a 2024. évi pályázati elszámolást nem készítették el a megadott határidőre.</w:t>
      </w:r>
    </w:p>
    <w:p>
      <w:pPr>
        <w:pStyle w:val="NormalWeb"/>
        <w:numPr>
          <w:ilvl w:val="0"/>
          <w:numId w:val="13"/>
        </w:numPr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az a tagszervezet, akinél a 2024. évi pályázati anyagok ellenőrzése során hiányosságok tapasztalhatók.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Nem részesülhet támogatásban az a pályázó, aki/akinek:</w:t>
      </w:r>
    </w:p>
    <w:p>
      <w:pPr>
        <w:pStyle w:val="Normal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BodyText2"/>
        <w:numPr>
          <w:ilvl w:val="0"/>
          <w:numId w:val="1"/>
        </w:numPr>
        <w:suppressAutoHyphens w:val="false"/>
        <w:spacing w:lineRule="auto" w:line="276" w:before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a pályázatát nem a Pályázati Felhívásban megfogalmazott követelmények alapján nyújtotta be;</w:t>
      </w:r>
    </w:p>
    <w:p>
      <w:pPr>
        <w:pStyle w:val="BodyText2"/>
        <w:numPr>
          <w:ilvl w:val="0"/>
          <w:numId w:val="1"/>
        </w:numPr>
        <w:suppressAutoHyphens w:val="false"/>
        <w:spacing w:lineRule="auto" w:line="276" w:before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a pályázatot nem a pályázói körben meghatározott szervezetként nyújtotta be;</w:t>
      </w:r>
    </w:p>
    <w:p>
      <w:pPr>
        <w:pStyle w:val="BodyText2"/>
        <w:numPr>
          <w:ilvl w:val="0"/>
          <w:numId w:val="1"/>
        </w:numPr>
        <w:suppressAutoHyphens w:val="false"/>
        <w:spacing w:lineRule="auto" w:line="276" w:before="0" w:after="0"/>
        <w:jc w:val="both"/>
        <w:rPr>
          <w:iCs/>
          <w:sz w:val="28"/>
          <w:szCs w:val="28"/>
        </w:rPr>
      </w:pPr>
      <w:bookmarkStart w:id="1" w:name="_Hlk35857831"/>
      <w:r>
        <w:rPr>
          <w:iCs/>
          <w:sz w:val="28"/>
          <w:szCs w:val="28"/>
        </w:rPr>
        <w:t>a pályázatát határidő után küldte meg</w:t>
      </w:r>
      <w:bookmarkEnd w:id="1"/>
      <w:r>
        <w:br w:type="page"/>
      </w:r>
    </w:p>
    <w:p>
      <w:pPr>
        <w:pStyle w:val="BodyText2"/>
        <w:numPr>
          <w:ilvl w:val="0"/>
          <w:numId w:val="1"/>
        </w:numPr>
        <w:suppressAutoHyphens w:val="false"/>
        <w:spacing w:lineRule="auto" w:line="276" w:before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nem válaszolt a pályázati űrlap valamennyi kérdésére, illetve nem írta alá a Nyilatkozatot;</w:t>
      </w:r>
    </w:p>
    <w:p>
      <w:pPr>
        <w:pStyle w:val="BodyText2"/>
        <w:numPr>
          <w:ilvl w:val="0"/>
          <w:numId w:val="1"/>
        </w:numPr>
        <w:suppressAutoHyphens w:val="false"/>
        <w:spacing w:lineRule="auto" w:line="276" w:before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a kötelező mellékleteket nem csatolta;</w:t>
      </w:r>
    </w:p>
    <w:p>
      <w:pPr>
        <w:pStyle w:val="BodyText2"/>
        <w:numPr>
          <w:ilvl w:val="0"/>
          <w:numId w:val="1"/>
        </w:numPr>
        <w:suppressAutoHyphens w:val="false"/>
        <w:spacing w:lineRule="auto" w:line="276" w:before="0" w:after="0"/>
        <w:jc w:val="both"/>
        <w:rPr>
          <w:iCs/>
          <w:sz w:val="28"/>
          <w:szCs w:val="28"/>
        </w:rPr>
      </w:pPr>
      <w:r>
        <w:rPr>
          <w:sz w:val="28"/>
          <w:szCs w:val="28"/>
        </w:rPr>
        <w:t>adótartozása, illetve adók módjára behajtható köztartozása van,</w:t>
      </w:r>
    </w:p>
    <w:p>
      <w:pPr>
        <w:pStyle w:val="BodyText2"/>
        <w:numPr>
          <w:ilvl w:val="0"/>
          <w:numId w:val="1"/>
        </w:numPr>
        <w:suppressAutoHyphens w:val="false"/>
        <w:spacing w:lineRule="auto" w:line="276" w:before="0" w:after="0"/>
        <w:jc w:val="both"/>
        <w:rPr>
          <w:iCs/>
          <w:sz w:val="28"/>
          <w:szCs w:val="28"/>
        </w:rPr>
      </w:pPr>
      <w:r>
        <w:rPr>
          <w:sz w:val="28"/>
          <w:szCs w:val="28"/>
        </w:rPr>
        <w:t>a bírósági nyilvántartásból való törlését az ügyészség kezdeményezte,</w:t>
      </w:r>
    </w:p>
    <w:p>
      <w:pPr>
        <w:pStyle w:val="BodyText2"/>
        <w:numPr>
          <w:ilvl w:val="0"/>
          <w:numId w:val="1"/>
        </w:numPr>
        <w:suppressAutoHyphens w:val="false"/>
        <w:spacing w:lineRule="auto" w:line="276" w:before="0" w:after="0"/>
        <w:jc w:val="both"/>
        <w:rPr>
          <w:iCs/>
          <w:sz w:val="28"/>
          <w:szCs w:val="28"/>
        </w:rPr>
      </w:pPr>
      <w:r>
        <w:rPr>
          <w:sz w:val="28"/>
          <w:szCs w:val="28"/>
        </w:rPr>
        <w:t>a benyújtott támogatás iránti kérelmében megtévesztő vagy valótlan adatot szolgáltatott,</w:t>
      </w:r>
    </w:p>
    <w:p>
      <w:pPr>
        <w:pStyle w:val="NormalWeb"/>
        <w:numPr>
          <w:ilvl w:val="0"/>
          <w:numId w:val="1"/>
        </w:numPr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nem csatolta </w:t>
      </w:r>
      <w:bookmarkStart w:id="2" w:name="_Hlk534801958"/>
      <w:r>
        <w:rPr>
          <w:iCs/>
          <w:sz w:val="28"/>
          <w:szCs w:val="28"/>
        </w:rPr>
        <w:t>a bírósági nyilvántartásba vételi és 30 napnál nem régebbi igazolását</w:t>
      </w:r>
      <w:bookmarkEnd w:id="2"/>
      <w:r>
        <w:rPr>
          <w:iCs/>
          <w:sz w:val="28"/>
          <w:szCs w:val="28"/>
        </w:rPr>
        <w:t>;</w:t>
      </w:r>
    </w:p>
    <w:p>
      <w:pPr>
        <w:pStyle w:val="NormalWeb"/>
        <w:numPr>
          <w:ilvl w:val="0"/>
          <w:numId w:val="1"/>
        </w:numPr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nem csatolta </w:t>
      </w:r>
      <w:bookmarkStart w:id="3" w:name="_Hlk534802071"/>
      <w:r>
        <w:rPr>
          <w:iCs/>
          <w:sz w:val="28"/>
          <w:szCs w:val="28"/>
        </w:rPr>
        <w:t>a szervezet képviseletére jogosító aláírási címpéldány, vagy banki aláírási karton hitelesített másolatát</w:t>
      </w:r>
      <w:bookmarkEnd w:id="3"/>
      <w:r>
        <w:rPr>
          <w:iCs/>
          <w:sz w:val="28"/>
          <w:szCs w:val="28"/>
        </w:rPr>
        <w:t>.</w:t>
      </w:r>
    </w:p>
    <w:p>
      <w:pPr>
        <w:pStyle w:val="NormalWeb"/>
        <w:spacing w:beforeAutospacing="0" w:before="0" w:afterAutospacing="0" w:after="0"/>
        <w:ind w:left="720" w:hanging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4./ A PROJEKTEK MEGVALÓSÍTÁSI IDEJE:</w:t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bookmarkStart w:id="4" w:name="_Hlk535230262"/>
      <w:r>
        <w:rPr>
          <w:rFonts w:ascii="Times New Roman" w:hAnsi="Times New Roman"/>
          <w:sz w:val="28"/>
          <w:szCs w:val="28"/>
        </w:rPr>
        <w:t xml:space="preserve">A pályázónak a szakmai programját </w:t>
      </w:r>
      <w:r>
        <w:rPr>
          <w:rFonts w:ascii="Times New Roman" w:hAnsi="Times New Roman"/>
          <w:b/>
          <w:sz w:val="28"/>
          <w:szCs w:val="28"/>
        </w:rPr>
        <w:t>2025. január 1. – december 31</w:t>
      </w:r>
      <w:r>
        <w:rPr>
          <w:rFonts w:ascii="Times New Roman" w:hAnsi="Times New Roman"/>
          <w:sz w:val="28"/>
          <w:szCs w:val="28"/>
        </w:rPr>
        <w:t>. közötti időszakban kell megvalósítania.</w:t>
      </w:r>
      <w:bookmarkEnd w:id="4"/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5./ A PÁLYÁZAT KERETÖSSZEGE: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 pályázatok támogatására rendelkezésre álló összeg </w:t>
      </w:r>
      <w:r>
        <w:rPr>
          <w:rFonts w:ascii="Times New Roman" w:hAnsi="Times New Roman"/>
          <w:b/>
          <w:sz w:val="28"/>
          <w:szCs w:val="28"/>
        </w:rPr>
        <w:t>13.000.000-Ft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6./ A TÁMOGATÁS FORMÁJA: 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 pályázható összeg vissza nem térítendő támogatás, amelyet kizárólag a pályázatban meghatározott célok elérése érdekében lehet felhasználni.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7./ </w:t>
      </w:r>
      <w:r>
        <w:rPr>
          <w:rFonts w:ascii="Times New Roman" w:hAnsi="Times New Roman"/>
          <w:b/>
          <w:sz w:val="28"/>
          <w:szCs w:val="28"/>
        </w:rPr>
        <w:t>AZ IGÉNYELHETŐ TÁMOGATÁS ÖSSZEGE ÉS MÉRTÉKE:</w:t>
      </w:r>
    </w:p>
    <w:p>
      <w:pPr>
        <w:pStyle w:val="NormalWeb"/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A pályázatban elnyerhető támogatás összege: max. </w:t>
      </w:r>
      <w:r>
        <w:rPr>
          <w:b/>
          <w:iCs/>
          <w:sz w:val="28"/>
          <w:szCs w:val="28"/>
        </w:rPr>
        <w:t>500. 000.- Ft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 támogatás mértéke 100 %, a pályázathoz önerő biztosítása nem kötelező.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8./ A PÁLYÁZATBAN ELSZÁMOLHATÓ – NEM ELSZÁMOLHATÓ KÖLTSÉGEK:</w:t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Web"/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A pályázatban ismertetett szakmai program folyamatos teljesítéséhez szükséges és a programhoz közvetlenül, vagy közvetett módon felmerülő költségek, amelyek a kiírás 4. pontjában meghatározott időszakban merültek fel és kerültek kifizetésre.</w:t>
      </w:r>
    </w:p>
    <w:p>
      <w:pPr>
        <w:pStyle w:val="NormalWeb"/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</w:r>
    </w:p>
    <w:p>
      <w:pPr>
        <w:pStyle w:val="NormalWeb"/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Eszközök beszerzése esetén csak új és </w:t>
      </w:r>
      <w:r>
        <w:rPr>
          <w:b/>
          <w:bCs/>
          <w:iCs/>
          <w:sz w:val="28"/>
          <w:szCs w:val="28"/>
        </w:rPr>
        <w:t>200.000,-Ft</w:t>
      </w:r>
      <w:r>
        <w:rPr>
          <w:iCs/>
          <w:sz w:val="28"/>
          <w:szCs w:val="28"/>
        </w:rPr>
        <w:t xml:space="preserve"> egységár alatti megvásárlása számolható el a pályázat keretében, és csak abban az esetben, ha az elengedhetetlenül szükséges a program sikeres megvalósításához.</w:t>
      </w:r>
    </w:p>
    <w:p>
      <w:pPr>
        <w:pStyle w:val="NormalWeb"/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</w:r>
    </w:p>
    <w:p>
      <w:pPr>
        <w:pStyle w:val="NormalWeb"/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A pályázati program keretében </w:t>
      </w:r>
      <w:r>
        <w:rPr>
          <w:b/>
          <w:iCs/>
          <w:sz w:val="28"/>
          <w:szCs w:val="28"/>
        </w:rPr>
        <w:t>nem elszámolható</w:t>
      </w:r>
      <w:r>
        <w:rPr>
          <w:iCs/>
          <w:sz w:val="28"/>
          <w:szCs w:val="28"/>
        </w:rPr>
        <w:t xml:space="preserve"> a szervezet működésével kapcsolatos rezsi jellegű költségek (pl. áram, gáz, víz-, és csatornadíj, telefon és internet szolgáltatások kiadása, stb.)</w:t>
      </w:r>
    </w:p>
    <w:p>
      <w:pPr>
        <w:pStyle w:val="NormalWeb"/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</w:r>
    </w:p>
    <w:p>
      <w:pPr>
        <w:pStyle w:val="NormalWeb"/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</w:r>
    </w:p>
    <w:p>
      <w:pPr>
        <w:pStyle w:val="NormalWeb"/>
        <w:spacing w:beforeAutospacing="0" w:before="0" w:afterAutospacing="0" w:after="0"/>
        <w:jc w:val="both"/>
        <w:rPr>
          <w:b/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9./ A TÁMOGATOTT PÁLYÁZÓ KÖTELEZETTSÉGEI:</w:t>
      </w:r>
    </w:p>
    <w:p>
      <w:pPr>
        <w:pStyle w:val="NormalWeb"/>
        <w:spacing w:beforeAutospacing="0" w:before="0" w:afterAutospacing="0" w:after="0"/>
        <w:jc w:val="both"/>
        <w:rPr>
          <w:b/>
          <w:b/>
          <w:iCs/>
          <w:sz w:val="28"/>
          <w:szCs w:val="28"/>
        </w:rPr>
      </w:pPr>
      <w:r>
        <w:rPr>
          <w:b/>
          <w:iCs/>
          <w:sz w:val="28"/>
          <w:szCs w:val="28"/>
        </w:rPr>
      </w:r>
    </w:p>
    <w:p>
      <w:pPr>
        <w:pStyle w:val="NormalWeb"/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A nyertes pályázóval a programjának támogatására az ÉTA Országos Szövetség támogatási szerződést köt, amely tartalmazza többek között a támogatás összegét, a támogatott elemeket, valamint az elszámolás módját, határidejét.</w:t>
      </w:r>
    </w:p>
    <w:p>
      <w:pPr>
        <w:pStyle w:val="NormalWeb"/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</w:r>
    </w:p>
    <w:p>
      <w:pPr>
        <w:pStyle w:val="NormalWeb"/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</w:r>
    </w:p>
    <w:p>
      <w:pPr>
        <w:pStyle w:val="NormalWeb"/>
        <w:spacing w:beforeAutospacing="0" w:before="0" w:afterAutospacing="0" w:after="0"/>
        <w:rPr>
          <w:iCs/>
          <w:sz w:val="28"/>
          <w:szCs w:val="28"/>
        </w:rPr>
      </w:pPr>
      <w:r>
        <w:rPr>
          <w:iCs/>
          <w:sz w:val="28"/>
          <w:szCs w:val="28"/>
        </w:rPr>
      </w:r>
    </w:p>
    <w:p>
      <w:pPr>
        <w:pStyle w:val="NormalWeb"/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</w:r>
      <w:r>
        <w:br w:type="page"/>
      </w:r>
    </w:p>
    <w:p>
      <w:pPr>
        <w:pStyle w:val="NormalWeb"/>
        <w:spacing w:beforeAutospacing="0" w:before="0" w:afterAutospacing="0" w:after="0"/>
        <w:jc w:val="both"/>
        <w:rPr>
          <w:b/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A nyertes pályázóval szembeni elvárások:</w:t>
      </w:r>
    </w:p>
    <w:p>
      <w:pPr>
        <w:pStyle w:val="NormalWeb"/>
        <w:spacing w:beforeAutospacing="0" w:before="0" w:afterAutospacing="0" w:after="0"/>
        <w:jc w:val="both"/>
        <w:rPr>
          <w:b/>
          <w:b/>
          <w:iCs/>
          <w:sz w:val="28"/>
          <w:szCs w:val="28"/>
        </w:rPr>
      </w:pPr>
      <w:r>
        <w:rPr>
          <w:b/>
          <w:iCs/>
          <w:sz w:val="28"/>
          <w:szCs w:val="28"/>
        </w:rPr>
      </w:r>
    </w:p>
    <w:p>
      <w:pPr>
        <w:pStyle w:val="NormalWeb"/>
        <w:numPr>
          <w:ilvl w:val="0"/>
          <w:numId w:val="2"/>
        </w:numPr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saját honlapján szükséges megjeleníteni, hogy az adott programot ÉTA Országos Szövetség támogatással valósította meg,</w:t>
      </w:r>
    </w:p>
    <w:p>
      <w:pPr>
        <w:pStyle w:val="NormalWeb"/>
        <w:numPr>
          <w:ilvl w:val="0"/>
          <w:numId w:val="2"/>
        </w:numPr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saját honlapjáról szükséges elérhetővé tenni az ÉTA Országos Szövetég honlapját,</w:t>
      </w:r>
    </w:p>
    <w:p>
      <w:pPr>
        <w:pStyle w:val="NormalWeb"/>
        <w:numPr>
          <w:ilvl w:val="0"/>
          <w:numId w:val="2"/>
        </w:numPr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saját honlapján szükséges a támogatók között feltüntetni az ÉTA Országos Szövetséget.</w:t>
      </w:r>
    </w:p>
    <w:p>
      <w:pPr>
        <w:pStyle w:val="NormalWeb"/>
        <w:numPr>
          <w:ilvl w:val="0"/>
          <w:numId w:val="2"/>
        </w:numPr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saját honlapján szükséges jól látható helyre kitenni az ÉTA Országos Szövetség logóját,</w:t>
      </w:r>
    </w:p>
    <w:p>
      <w:pPr>
        <w:pStyle w:val="NormalWeb"/>
        <w:numPr>
          <w:ilvl w:val="0"/>
          <w:numId w:val="2"/>
        </w:numPr>
        <w:spacing w:beforeAutospacing="0" w:before="0" w:afterAutospacing="0" w:after="0"/>
        <w:jc w:val="both"/>
        <w:rPr>
          <w:b/>
          <w:b/>
          <w:bCs/>
          <w:iCs/>
          <w:sz w:val="28"/>
          <w:szCs w:val="28"/>
        </w:rPr>
      </w:pPr>
      <w:r>
        <w:rPr>
          <w:iCs/>
          <w:sz w:val="28"/>
          <w:szCs w:val="28"/>
        </w:rPr>
        <w:t xml:space="preserve">a nyertes pályázónak elszámolási kötelezettsége van </w:t>
      </w:r>
      <w:r>
        <w:rPr>
          <w:b/>
          <w:bCs/>
          <w:iCs/>
          <w:sz w:val="28"/>
          <w:szCs w:val="28"/>
        </w:rPr>
        <w:t>2026. január 15-ig.</w:t>
      </w:r>
    </w:p>
    <w:p>
      <w:pPr>
        <w:pStyle w:val="NormalWeb"/>
        <w:spacing w:beforeAutospacing="0" w:before="0" w:afterAutospacing="0" w:after="0"/>
        <w:jc w:val="both"/>
        <w:rPr>
          <w:b/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</w:r>
    </w:p>
    <w:p>
      <w:pPr>
        <w:pStyle w:val="NormalWeb"/>
        <w:spacing w:beforeAutospacing="0" w:before="0" w:afterAutospacing="0" w:after="0"/>
        <w:jc w:val="both"/>
        <w:rPr>
          <w:b/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10./ A PÁLYÁZATOK BENYÚJTÁSÁNAK MÓDJA:</w:t>
      </w:r>
    </w:p>
    <w:p>
      <w:pPr>
        <w:pStyle w:val="NormalWeb"/>
        <w:spacing w:beforeAutospacing="0" w:before="0" w:afterAutospacing="0" w:after="0"/>
        <w:jc w:val="both"/>
        <w:rPr>
          <w:b/>
          <w:b/>
          <w:iCs/>
          <w:sz w:val="28"/>
          <w:szCs w:val="28"/>
        </w:rPr>
      </w:pPr>
      <w:r>
        <w:rPr>
          <w:b/>
          <w:iCs/>
          <w:sz w:val="28"/>
          <w:szCs w:val="28"/>
        </w:rPr>
      </w:r>
    </w:p>
    <w:p>
      <w:pPr>
        <w:pStyle w:val="NormalWeb"/>
        <w:spacing w:beforeAutospacing="0" w:before="0" w:afterAutospacing="0" w:after="0"/>
        <w:jc w:val="both"/>
        <w:rPr>
          <w:iCs/>
          <w:sz w:val="28"/>
          <w:szCs w:val="28"/>
        </w:rPr>
      </w:pPr>
      <w:bookmarkStart w:id="5" w:name="_Hlk535230463"/>
      <w:r>
        <w:rPr>
          <w:iCs/>
          <w:sz w:val="28"/>
          <w:szCs w:val="28"/>
        </w:rPr>
        <w:t xml:space="preserve">A Pályázati felhívás, a Pályázati Dokumentáció és Űrlap, a pályázat részét képező költségvetés táblázat megtekinthető és letölthető az ÉTA Országos Szövetség honlapjáról: </w:t>
      </w:r>
      <w:hyperlink r:id="rId2">
        <w:r>
          <w:rPr>
            <w:rStyle w:val="Internethivatkozs"/>
            <w:iCs/>
            <w:sz w:val="28"/>
            <w:szCs w:val="28"/>
          </w:rPr>
          <w:t>www.eta-szov.hu</w:t>
        </w:r>
      </w:hyperlink>
      <w:r>
        <w:rPr>
          <w:rStyle w:val="Internethivatkozs"/>
          <w:iCs/>
          <w:sz w:val="28"/>
          <w:szCs w:val="28"/>
        </w:rPr>
        <w:t xml:space="preserve"> 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 pályázatokat a kiíráshoz mellékelt </w:t>
      </w:r>
      <w:r>
        <w:rPr>
          <w:rFonts w:ascii="Times New Roman" w:hAnsi="Times New Roman"/>
          <w:b/>
          <w:sz w:val="28"/>
          <w:szCs w:val="28"/>
        </w:rPr>
        <w:t>Pályázati Űrlap</w:t>
      </w:r>
      <w:r>
        <w:rPr>
          <w:rFonts w:ascii="Times New Roman" w:hAnsi="Times New Roman"/>
          <w:sz w:val="28"/>
          <w:szCs w:val="28"/>
        </w:rPr>
        <w:t xml:space="preserve"> (Pályázati Dokumentáció része) hiánytalan kitöltésével és az előírt kötelező mellékletek csatolásával, a 11. pontban meghatározott határidőig történő beadásával lehet teljesíteni.</w:t>
      </w:r>
    </w:p>
    <w:p>
      <w:pPr>
        <w:pStyle w:val="NormalWeb"/>
        <w:spacing w:beforeAutospacing="0" w:before="0" w:afterAutospacing="0" w:after="0"/>
        <w:jc w:val="both"/>
        <w:rPr>
          <w:b/>
          <w:b/>
          <w:iCs/>
          <w:sz w:val="28"/>
          <w:szCs w:val="28"/>
        </w:rPr>
      </w:pPr>
      <w:r>
        <w:rPr>
          <w:iCs/>
          <w:sz w:val="28"/>
          <w:szCs w:val="28"/>
        </w:rPr>
        <w:t xml:space="preserve">A pályázat benyújtásának módja elektronikus úton 1 példányban PDF formátumban (Pályázati Űrlap, költségvetés és </w:t>
      </w:r>
      <w:r>
        <w:rPr>
          <w:i/>
          <w:iCs/>
          <w:sz w:val="28"/>
          <w:szCs w:val="28"/>
        </w:rPr>
        <w:t>mellékletek</w:t>
      </w:r>
      <w:r>
        <w:rPr>
          <w:iCs/>
          <w:sz w:val="28"/>
          <w:szCs w:val="28"/>
        </w:rPr>
        <w:t>) az alábbi e-mail címre kérjük benyújtani:</w:t>
      </w:r>
      <w:r>
        <w:rPr>
          <w:b/>
          <w:iCs/>
          <w:sz w:val="28"/>
          <w:szCs w:val="28"/>
        </w:rPr>
        <w:t xml:space="preserve"> </w:t>
      </w:r>
      <w:hyperlink r:id="rId3">
        <w:r>
          <w:rPr>
            <w:rStyle w:val="Internethivatkozs"/>
            <w:iCs/>
            <w:sz w:val="28"/>
            <w:szCs w:val="28"/>
          </w:rPr>
          <w:t>etapalyazatok@eta-szov.hu</w:t>
        </w:r>
      </w:hyperlink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11./ A PÁLY</w:t>
      </w:r>
      <w:r>
        <w:rPr>
          <w:rFonts w:ascii="Times New Roman" w:hAnsi="Times New Roman"/>
          <w:b/>
          <w:sz w:val="28"/>
          <w:szCs w:val="28"/>
        </w:rPr>
        <w:t>Á</w:t>
      </w:r>
      <w:r>
        <w:rPr>
          <w:rFonts w:ascii="Times New Roman" w:hAnsi="Times New Roman"/>
          <w:b/>
          <w:sz w:val="28"/>
          <w:szCs w:val="28"/>
        </w:rPr>
        <w:t>ZATOK BEADÁSI HATÁRIDEJE:</w:t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bookmarkStart w:id="6" w:name="_Hlk535230336"/>
      <w:r>
        <w:rPr>
          <w:rFonts w:ascii="Times New Roman" w:hAnsi="Times New Roman"/>
          <w:sz w:val="28"/>
          <w:szCs w:val="28"/>
        </w:rPr>
        <w:t xml:space="preserve">A pályázatokat </w:t>
      </w:r>
      <w:r>
        <w:rPr>
          <w:rFonts w:ascii="Times New Roman" w:hAnsi="Times New Roman"/>
          <w:b/>
          <w:sz w:val="28"/>
          <w:szCs w:val="28"/>
        </w:rPr>
        <w:t>2025. június 30. éjfélig</w:t>
      </w:r>
      <w:r>
        <w:rPr>
          <w:rFonts w:ascii="Times New Roman" w:hAnsi="Times New Roman"/>
          <w:sz w:val="28"/>
          <w:szCs w:val="28"/>
        </w:rPr>
        <w:t xml:space="preserve"> kell benyújtani.</w:t>
      </w:r>
      <w:bookmarkEnd w:id="6"/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/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/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/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/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/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/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/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12./ A PÁLYÁZATOK ELBÍRÁLÁSA:</w:t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Formai hibásnak minősül az a pályázat, amely:</w:t>
      </w:r>
    </w:p>
    <w:p>
      <w:pPr>
        <w:pStyle w:val="Normal"/>
        <w:numPr>
          <w:ilvl w:val="0"/>
          <w:numId w:val="3"/>
        </w:numPr>
        <w:suppressAutoHyphens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nincs benyújtva a megfelelő formátumban (PDF),</w:t>
      </w:r>
    </w:p>
    <w:p>
      <w:pPr>
        <w:pStyle w:val="Normal"/>
        <w:numPr>
          <w:ilvl w:val="0"/>
          <w:numId w:val="3"/>
        </w:numPr>
        <w:suppressAutoHyphens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nincs aláírva a Nyilatkozat,</w:t>
      </w:r>
    </w:p>
    <w:p>
      <w:pPr>
        <w:pStyle w:val="Normal"/>
        <w:numPr>
          <w:ilvl w:val="0"/>
          <w:numId w:val="3"/>
        </w:numPr>
        <w:suppressAutoHyphens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nem tartalmazza a kötelező mellékletek mindegyikét.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 pályázat benyújtása után hiánypótlásra 1 alkalommal, az ÉTA Országos Szövetség munkatársa felhívására van mód, amelyet 5 napon belül kell teljesíteni. A formailag hibás pályázatok nem kerülnek értékelésre, támogatásban nem részesíthetők.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 benyújtott pályázatokról az </w:t>
      </w:r>
      <w:r>
        <w:rPr>
          <w:rFonts w:eastAsia="Times New Roman" w:ascii="Times New Roman" w:hAnsi="Times New Roman"/>
          <w:sz w:val="28"/>
          <w:szCs w:val="28"/>
          <w:lang w:eastAsia="hu-HU"/>
        </w:rPr>
        <w:t xml:space="preserve">Értelmi Sérülteket Szolgáló Társadalmi Szervezetek és Alapítványok Országos Szövetsége (ÉTA) Elnöksége dönt </w:t>
      </w:r>
      <w:r>
        <w:rPr>
          <w:rFonts w:eastAsia="Times New Roman" w:ascii="Times New Roman" w:hAnsi="Times New Roman"/>
          <w:b/>
          <w:bCs/>
          <w:sz w:val="28"/>
          <w:szCs w:val="28"/>
          <w:lang w:eastAsia="hu-HU"/>
        </w:rPr>
        <w:t>2025. augusztusában,</w:t>
      </w:r>
      <w:r>
        <w:rPr>
          <w:rFonts w:eastAsia="Times New Roman" w:ascii="Times New Roman" w:hAnsi="Times New Roman"/>
          <w:sz w:val="28"/>
          <w:szCs w:val="28"/>
          <w:lang w:eastAsia="hu-HU"/>
        </w:rPr>
        <w:t xml:space="preserve"> amelyről értesíti a pályázó szervezeteket. A döntés végleges, fellebbezés nem lehetséges.</w:t>
      </w:r>
      <w:bookmarkEnd w:id="5"/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bookmarkStart w:id="7" w:name="_Hlk535230569"/>
      <w:r>
        <w:rPr>
          <w:rFonts w:ascii="Times New Roman" w:hAnsi="Times New Roman"/>
          <w:sz w:val="28"/>
          <w:szCs w:val="28"/>
        </w:rPr>
        <w:t>A pályázattal és a benyújtással kapcsolatban további felvilágosítás kérhető</w:t>
      </w:r>
      <w:bookmarkStart w:id="8" w:name="_Hlk2339298"/>
      <w:r>
        <w:rPr>
          <w:rFonts w:ascii="Times New Roman" w:hAnsi="Times New Roman"/>
          <w:sz w:val="28"/>
          <w:szCs w:val="28"/>
        </w:rPr>
        <w:t xml:space="preserve"> Palatin Gyuláné pénzügyi munkatárstól (06-1 414-0500).</w:t>
      </w:r>
      <w:bookmarkEnd w:id="7"/>
      <w:bookmarkEnd w:id="8"/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bookmarkStart w:id="9" w:name="_Hlk535230590"/>
      <w:r>
        <w:rPr>
          <w:rFonts w:ascii="Times New Roman" w:hAnsi="Times New Roman"/>
          <w:sz w:val="28"/>
          <w:szCs w:val="28"/>
        </w:rPr>
        <w:t>Budapest, 2025. április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left="4956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Papp Ágnes</w:t>
      </w:r>
    </w:p>
    <w:p>
      <w:pPr>
        <w:pStyle w:val="Normal"/>
        <w:ind w:left="4248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ÉTA Országos Szövetség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elnök sk.</w:t>
      </w:r>
      <w:bookmarkEnd w:id="9"/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Helvetica" w:hAnsi="Helvetica" w:cs="Helvetica"/>
          <w:sz w:val="28"/>
          <w:szCs w:val="28"/>
        </w:rPr>
      </w:pPr>
      <w:r>
        <w:rPr/>
      </w:r>
    </w:p>
    <w:sectPr>
      <w:headerReference w:type="default" r:id="rId4"/>
      <w:footerReference w:type="default" r:id="rId5"/>
      <w:type w:val="nextPage"/>
      <w:pgSz w:w="11906" w:h="16838"/>
      <w:pgMar w:left="1134" w:right="1134" w:gutter="0" w:header="1134" w:top="1693" w:footer="1134" w:bottom="1191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Helvetica">
    <w:altName w:val="Arial"/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977177563"/>
    </w:sdtPr>
    <w:sdtContent>
      <w:p>
        <w:pPr>
          <w:pStyle w:val="Llb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7</w:t>
        </w:r>
        <w:r>
          <w:rPr/>
          <w:fldChar w:fldCharType="end"/>
        </w:r>
      </w:p>
    </w:sdtContent>
  </w:sdt>
  <w:p>
    <w:pPr>
      <w:pStyle w:val="Llb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fej"/>
      <w:rPr/>
    </w:pPr>
    <w:r>
      <w:rPr/>
      <w:drawing>
        <wp:anchor behindDoc="0" distT="0" distB="0" distL="0" distR="0" simplePos="0" locked="0" layoutInCell="0" allowOverlap="1" relativeHeight="8">
          <wp:simplePos x="0" y="0"/>
          <wp:positionH relativeFrom="column">
            <wp:align>center</wp:align>
          </wp:positionH>
          <wp:positionV relativeFrom="paragraph">
            <wp:posOffset>635</wp:posOffset>
          </wp:positionV>
          <wp:extent cx="6120130" cy="1804670"/>
          <wp:effectExtent l="0" t="0" r="0" b="0"/>
          <wp:wrapSquare wrapText="largest"/>
          <wp:docPr id="1" name="Kép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8046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4"/>
  </w:num>
  <w:num w:numId="11">
    <w:abstractNumId w:val="4"/>
  </w:num>
  <w:num w:numId="12">
    <w:abstractNumId w:val="4"/>
  </w:num>
  <w:num w:numId="13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4"/>
        <w:szCs w:val="24"/>
        <w:lang w:val="hu-H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SimSun" w:cs="Mangal"/>
      <w:color w:val="auto"/>
      <w:kern w:val="2"/>
      <w:sz w:val="24"/>
      <w:szCs w:val="24"/>
      <w:lang w:val="hu-H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lbChar" w:customStyle="1">
    <w:name w:val="Élőláb Char"/>
    <w:basedOn w:val="DefaultParagraphFont"/>
    <w:uiPriority w:val="99"/>
    <w:qFormat/>
    <w:rsid w:val="00941aea"/>
    <w:rPr/>
  </w:style>
  <w:style w:type="character" w:styleId="Szvegtrzs2Char" w:customStyle="1">
    <w:name w:val="Szövegtörzs 2 Char"/>
    <w:basedOn w:val="DefaultParagraphFont"/>
    <w:link w:val="BodyText2"/>
    <w:uiPriority w:val="99"/>
    <w:semiHidden/>
    <w:qFormat/>
    <w:rsid w:val="00d57a12"/>
    <w:rPr>
      <w:szCs w:val="21"/>
    </w:rPr>
  </w:style>
  <w:style w:type="character" w:styleId="Internethivatkozs">
    <w:name w:val="Internet-hivatkozás"/>
    <w:uiPriority w:val="99"/>
    <w:unhideWhenUsed/>
    <w:rsid w:val="00d57a12"/>
    <w:rPr>
      <w:color w:val="0000FF"/>
      <w:u w:val="single"/>
    </w:rPr>
  </w:style>
  <w:style w:type="paragraph" w:styleId="Cmsor" w:customStyle="1">
    <w:name w:val="Címsor"/>
    <w:basedOn w:val="Normal"/>
    <w:next w:val="Szvegtrzs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Szvegtrzs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Szvegtrzs"/>
    <w:pPr/>
    <w:rPr/>
  </w:style>
  <w:style w:type="paragraph" w:styleId="Felirat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Trgymutat" w:customStyle="1">
    <w:name w:val="Tárgymutató"/>
    <w:basedOn w:val="Normal"/>
    <w:qFormat/>
    <w:pPr>
      <w:suppressLineNumbers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Lfejsllb" w:customStyle="1">
    <w:name w:val="Élőfej és élőláb"/>
    <w:basedOn w:val="Normal"/>
    <w:qFormat/>
    <w:pPr/>
    <w:rPr/>
  </w:style>
  <w:style w:type="paragraph" w:styleId="Lfej">
    <w:name w:val="Head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Llb">
    <w:name w:val="Footer"/>
    <w:basedOn w:val="Normal"/>
    <w:link w:val="LlbChar"/>
    <w:uiPriority w:val="99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ListParagraph">
    <w:name w:val="List Paragraph"/>
    <w:basedOn w:val="Normal"/>
    <w:uiPriority w:val="34"/>
    <w:qFormat/>
    <w:rsid w:val="000868da"/>
    <w:pPr>
      <w:spacing w:before="0" w:after="0"/>
      <w:ind w:left="720" w:hanging="0"/>
      <w:contextualSpacing/>
    </w:pPr>
    <w:rPr>
      <w:szCs w:val="21"/>
    </w:rPr>
  </w:style>
  <w:style w:type="paragraph" w:styleId="BodyText2">
    <w:name w:val="Body Text 2"/>
    <w:basedOn w:val="Normal"/>
    <w:link w:val="Szvegtrzs2Char"/>
    <w:uiPriority w:val="99"/>
    <w:semiHidden/>
    <w:unhideWhenUsed/>
    <w:qFormat/>
    <w:rsid w:val="00d57a12"/>
    <w:pPr>
      <w:spacing w:lineRule="auto" w:line="480" w:before="0" w:after="120"/>
    </w:pPr>
    <w:rPr>
      <w:szCs w:val="21"/>
    </w:rPr>
  </w:style>
  <w:style w:type="paragraph" w:styleId="NormalWeb">
    <w:name w:val="Normal (Web)"/>
    <w:basedOn w:val="Normal"/>
    <w:unhideWhenUsed/>
    <w:qFormat/>
    <w:rsid w:val="00d57a12"/>
    <w:pPr>
      <w:suppressAutoHyphens w:val="false"/>
      <w:spacing w:beforeAutospacing="1" w:afterAutospacing="1"/>
    </w:pPr>
    <w:rPr>
      <w:rFonts w:ascii="Times New Roman" w:hAnsi="Times New Roman" w:eastAsia="Times New Roman" w:cs="Times New Roman"/>
      <w:kern w:val="0"/>
      <w:lang w:eastAsia="hu-H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tblzat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eta-szov.hu/" TargetMode="External"/><Relationship Id="rId3" Type="http://schemas.openxmlformats.org/officeDocument/2006/relationships/hyperlink" Target="mailto:etapalyazatok@eta-szov.hu" TargetMode="Externa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LibreOffice/7.3.6.2$Windows_X86_64 LibreOffice_project/c28ca90fd6e1a19e189fc16c05f8f8924961e12e</Application>
  <AppVersion>15.0000</AppVersion>
  <Pages>7</Pages>
  <Words>849</Words>
  <Characters>5759</Characters>
  <CharactersWithSpaces>6603</CharactersWithSpaces>
  <Paragraphs>71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2025-03-28T17:51:00Z</dcterms:created>
  <dc:creator>IrodaW</dc:creator>
  <dc:description/>
  <dc:language>hu-HU</dc:language>
  <cp:lastModifiedBy/>
  <cp:lastPrinted>2023-09-20T14:47:00Z</cp:lastPrinted>
  <dcterms:modified xsi:type="dcterms:W3CDTF">2025-04-15T10:02:08Z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